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31806">
      <w:pPr>
        <w:spacing w:line="360" w:lineRule="auto"/>
        <w:jc w:val="center"/>
        <w:rPr>
          <w:rFonts w:hint="default" w:ascii="Times New Roman" w:hAnsi="Times New Roman" w:eastAsia="宋体" w:cs="宋体"/>
          <w:b/>
          <w:bCs/>
          <w:sz w:val="32"/>
          <w:szCs w:val="32"/>
          <w:highlight w:val="none"/>
          <w:lang w:val="en-US"/>
        </w:rPr>
      </w:pPr>
      <w:r>
        <w:rPr>
          <w:rFonts w:hint="eastAsia" w:ascii="Times New Roman" w:hAnsi="Times New Roman" w:eastAsia="宋体" w:cs="宋体"/>
          <w:b/>
          <w:bCs/>
          <w:sz w:val="32"/>
          <w:szCs w:val="32"/>
          <w:highlight w:val="none"/>
          <w:lang w:eastAsia="zh-CN"/>
        </w:rPr>
        <w:t>2026年嘉定区中心医院</w:t>
      </w:r>
      <w:r>
        <w:rPr>
          <w:rFonts w:hint="eastAsia" w:ascii="Times New Roman" w:hAnsi="Times New Roman" w:eastAsia="宋体" w:cs="宋体"/>
          <w:b/>
          <w:bCs/>
          <w:sz w:val="32"/>
          <w:szCs w:val="32"/>
          <w:highlight w:val="none"/>
          <w:lang w:val="en-US" w:eastAsia="zh-CN"/>
        </w:rPr>
        <w:t>普外科及麻醉科</w:t>
      </w:r>
      <w:r>
        <w:rPr>
          <w:rFonts w:hint="eastAsia" w:ascii="Times New Roman" w:hAnsi="Times New Roman" w:eastAsia="宋体" w:cs="宋体"/>
          <w:b/>
          <w:bCs/>
          <w:sz w:val="32"/>
          <w:szCs w:val="32"/>
          <w:highlight w:val="none"/>
          <w:lang w:eastAsia="zh-CN"/>
        </w:rPr>
        <w:t>医疗设备采购</w:t>
      </w:r>
      <w:r>
        <w:rPr>
          <w:rFonts w:hint="eastAsia" w:ascii="Times New Roman" w:hAnsi="Times New Roman" w:eastAsia="宋体" w:cs="宋体"/>
          <w:b/>
          <w:bCs/>
          <w:sz w:val="32"/>
          <w:szCs w:val="32"/>
          <w:highlight w:val="none"/>
          <w:lang w:val="en-US" w:eastAsia="zh-CN"/>
        </w:rPr>
        <w:t>公告</w:t>
      </w:r>
    </w:p>
    <w:p w14:paraId="6B67F39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sz w:val="24"/>
          <w:highlight w:val="none"/>
        </w:rPr>
      </w:pPr>
      <w:r>
        <w:rPr>
          <w:rFonts w:hint="eastAsia" w:ascii="Times New Roman" w:hAnsi="Times New Roman" w:eastAsia="宋体" w:cs="宋体"/>
          <w:b w:val="0"/>
          <w:bCs w:val="0"/>
          <w:kern w:val="0"/>
          <w:sz w:val="24"/>
          <w:szCs w:val="24"/>
          <w:highlight w:val="none"/>
        </w:rPr>
        <w:t>根据《中华人民共和国政府采购法》之规定，对</w:t>
      </w:r>
      <w:r>
        <w:rPr>
          <w:rFonts w:ascii="Times New Roman" w:hAnsi="Times New Roman" w:eastAsia="宋体"/>
          <w:highlight w:val="none"/>
        </w:rPr>
        <w:t>2026年</w:t>
      </w:r>
      <w:r>
        <w:rPr>
          <w:rFonts w:hint="eastAsia" w:ascii="Times New Roman" w:hAnsi="Times New Roman" w:eastAsia="宋体"/>
          <w:highlight w:val="none"/>
          <w:lang w:val="en-US" w:eastAsia="zh-CN"/>
        </w:rPr>
        <w:t>嘉定区中心医院普外科及麻醉科医疗</w:t>
      </w:r>
      <w:r>
        <w:rPr>
          <w:rFonts w:ascii="Times New Roman" w:hAnsi="Times New Roman" w:eastAsia="宋体"/>
          <w:highlight w:val="none"/>
        </w:rPr>
        <w:t>设备采购</w:t>
      </w:r>
      <w:r>
        <w:rPr>
          <w:rFonts w:hint="eastAsia" w:ascii="Times New Roman" w:hAnsi="Times New Roman" w:eastAsia="宋体" w:cs="宋体"/>
          <w:b w:val="0"/>
          <w:bCs w:val="0"/>
          <w:sz w:val="24"/>
          <w:szCs w:val="24"/>
          <w:highlight w:val="none"/>
          <w:lang w:val="en-US" w:eastAsia="zh-CN"/>
        </w:rPr>
        <w:t>进行比选采购</w:t>
      </w:r>
      <w:r>
        <w:rPr>
          <w:rFonts w:hint="eastAsia" w:ascii="Times New Roman" w:hAnsi="Times New Roman" w:eastAsia="宋体" w:cs="宋体"/>
          <w:b w:val="0"/>
          <w:bCs w:val="0"/>
          <w:sz w:val="24"/>
          <w:szCs w:val="24"/>
          <w:highlight w:val="none"/>
          <w:lang w:eastAsia="zh-CN"/>
        </w:rPr>
        <w:t>，</w:t>
      </w:r>
      <w:r>
        <w:rPr>
          <w:rFonts w:hint="eastAsia" w:ascii="Times New Roman" w:hAnsi="Times New Roman" w:eastAsia="宋体" w:cs="宋体"/>
          <w:b w:val="0"/>
          <w:bCs w:val="0"/>
          <w:sz w:val="24"/>
          <w:szCs w:val="24"/>
          <w:highlight w:val="none"/>
        </w:rPr>
        <w:t>现欢迎合格的</w:t>
      </w:r>
      <w:r>
        <w:rPr>
          <w:rFonts w:hint="eastAsia" w:ascii="Times New Roman" w:hAnsi="Times New Roman" w:eastAsia="宋体" w:cs="宋体"/>
          <w:b w:val="0"/>
          <w:bCs w:val="0"/>
          <w:sz w:val="24"/>
          <w:szCs w:val="24"/>
          <w:highlight w:val="none"/>
          <w:lang w:eastAsia="zh-CN"/>
        </w:rPr>
        <w:t>供应商</w:t>
      </w:r>
      <w:r>
        <w:rPr>
          <w:rFonts w:hint="eastAsia" w:ascii="Times New Roman" w:hAnsi="Times New Roman" w:eastAsia="宋体" w:cs="宋体"/>
          <w:b w:val="0"/>
          <w:bCs w:val="0"/>
          <w:sz w:val="24"/>
          <w:szCs w:val="24"/>
          <w:highlight w:val="none"/>
        </w:rPr>
        <w:t>参加投标</w:t>
      </w:r>
      <w:r>
        <w:rPr>
          <w:rFonts w:hint="eastAsia" w:ascii="Times New Roman" w:hAnsi="Times New Roman" w:eastAsia="宋体" w:cs="宋体"/>
          <w:sz w:val="24"/>
          <w:highlight w:val="none"/>
        </w:rPr>
        <w:t>。</w:t>
      </w:r>
    </w:p>
    <w:p w14:paraId="3731F6B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一、</w:t>
      </w:r>
      <w:r>
        <w:rPr>
          <w:rFonts w:hint="eastAsia" w:ascii="Times New Roman" w:hAnsi="Times New Roman" w:eastAsia="宋体" w:cs="宋体"/>
          <w:b/>
          <w:bCs/>
          <w:sz w:val="24"/>
          <w:szCs w:val="24"/>
          <w:highlight w:val="none"/>
          <w:lang w:eastAsia="zh-CN"/>
        </w:rPr>
        <w:t>询比</w:t>
      </w:r>
      <w:r>
        <w:rPr>
          <w:rFonts w:hint="eastAsia" w:ascii="Times New Roman" w:hAnsi="Times New Roman" w:eastAsia="宋体" w:cs="宋体"/>
          <w:b/>
          <w:bCs/>
          <w:sz w:val="24"/>
          <w:szCs w:val="24"/>
          <w:highlight w:val="none"/>
        </w:rPr>
        <w:t>内容</w:t>
      </w:r>
    </w:p>
    <w:p w14:paraId="22272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heme="minorBidi"/>
          <w:kern w:val="0"/>
          <w:sz w:val="24"/>
          <w:szCs w:val="24"/>
          <w:highlight w:val="none"/>
          <w:lang w:val="en-US" w:eastAsia="zh-CN" w:bidi="ar"/>
        </w:rPr>
      </w:pPr>
      <w:r>
        <w:rPr>
          <w:rFonts w:hint="eastAsia" w:ascii="Times New Roman" w:hAnsi="Times New Roman" w:eastAsia="宋体" w:cs="宋体"/>
          <w:b w:val="0"/>
          <w:bCs w:val="0"/>
          <w:sz w:val="24"/>
          <w:szCs w:val="24"/>
          <w:highlight w:val="none"/>
          <w:lang w:val="en-US" w:eastAsia="zh-CN"/>
        </w:rPr>
        <w:t>1、项目名称：</w:t>
      </w:r>
      <w:r>
        <w:rPr>
          <w:rFonts w:ascii="Times New Roman" w:hAnsi="Times New Roman" w:eastAsia="宋体"/>
          <w:sz w:val="24"/>
          <w:szCs w:val="32"/>
          <w:highlight w:val="none"/>
        </w:rPr>
        <w:t>2026年</w:t>
      </w:r>
      <w:r>
        <w:rPr>
          <w:rFonts w:hint="eastAsia" w:ascii="Times New Roman" w:hAnsi="Times New Roman" w:eastAsia="宋体"/>
          <w:sz w:val="24"/>
          <w:szCs w:val="32"/>
          <w:highlight w:val="none"/>
          <w:lang w:val="en-US" w:eastAsia="zh-CN"/>
        </w:rPr>
        <w:t>嘉定区中心医院</w:t>
      </w:r>
      <w:r>
        <w:rPr>
          <w:rFonts w:hint="eastAsia" w:ascii="Times New Roman" w:hAnsi="Times New Roman" w:eastAsia="宋体"/>
          <w:sz w:val="24"/>
          <w:szCs w:val="24"/>
          <w:highlight w:val="none"/>
          <w:lang w:val="en-US" w:eastAsia="zh-CN"/>
        </w:rPr>
        <w:t>普外科及麻醉科</w:t>
      </w:r>
      <w:r>
        <w:rPr>
          <w:rFonts w:hint="eastAsia" w:ascii="Times New Roman" w:hAnsi="Times New Roman" w:eastAsia="宋体"/>
          <w:sz w:val="24"/>
          <w:szCs w:val="32"/>
          <w:highlight w:val="none"/>
          <w:lang w:val="en-US" w:eastAsia="zh-CN"/>
        </w:rPr>
        <w:t>医疗</w:t>
      </w:r>
      <w:r>
        <w:rPr>
          <w:rFonts w:ascii="Times New Roman" w:hAnsi="Times New Roman" w:eastAsia="宋体"/>
          <w:sz w:val="24"/>
          <w:szCs w:val="32"/>
          <w:highlight w:val="none"/>
        </w:rPr>
        <w:t>设备采购</w:t>
      </w:r>
    </w:p>
    <w:p w14:paraId="00044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highlight w:val="none"/>
          <w:lang w:val="en-US" w:eastAsia="zh-CN"/>
        </w:rPr>
      </w:pPr>
      <w:r>
        <w:rPr>
          <w:rFonts w:hint="eastAsia" w:ascii="Times New Roman" w:hAnsi="Times New Roman" w:eastAsia="宋体" w:cs="宋体"/>
          <w:b w:val="0"/>
          <w:bCs w:val="0"/>
          <w:sz w:val="24"/>
          <w:szCs w:val="24"/>
          <w:highlight w:val="none"/>
          <w:lang w:val="en-US" w:eastAsia="zh-CN"/>
        </w:rPr>
        <w:t>2、项目编号JZX-2026-066</w:t>
      </w:r>
    </w:p>
    <w:p w14:paraId="25C7B8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highlight w:val="none"/>
          <w:lang w:val="en-US" w:eastAsia="zh-CN"/>
        </w:rPr>
      </w:pPr>
      <w:r>
        <w:rPr>
          <w:rFonts w:hint="eastAsia" w:ascii="Times New Roman" w:hAnsi="Times New Roman" w:eastAsia="宋体" w:cs="宋体"/>
          <w:b w:val="0"/>
          <w:bCs w:val="0"/>
          <w:sz w:val="24"/>
          <w:szCs w:val="24"/>
          <w:highlight w:val="none"/>
          <w:lang w:val="en-US" w:eastAsia="zh-CN"/>
        </w:rPr>
        <w:t>3、项目简介：本项目分为4个包件（详见采购文件），超过预算予以否决。</w:t>
      </w:r>
    </w:p>
    <w:tbl>
      <w:tblPr>
        <w:tblStyle w:val="5"/>
        <w:tblW w:w="94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1"/>
        <w:gridCol w:w="1035"/>
        <w:gridCol w:w="2535"/>
        <w:gridCol w:w="1275"/>
        <w:gridCol w:w="885"/>
        <w:gridCol w:w="1365"/>
        <w:gridCol w:w="1611"/>
      </w:tblGrid>
      <w:tr w14:paraId="73B9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1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F07CD07">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包件</w:t>
            </w:r>
          </w:p>
          <w:p w14:paraId="7374D022">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号</w:t>
            </w:r>
          </w:p>
        </w:tc>
        <w:tc>
          <w:tcPr>
            <w:tcW w:w="103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B5D11F9">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科室</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E10E5">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262B7">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★单台金额（万元）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1647D">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2675D">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★预算总额（万元）</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7B66A">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是否可采购进口设备</w:t>
            </w:r>
          </w:p>
        </w:tc>
      </w:tr>
      <w:tr w14:paraId="3074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67C4B63">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77BDCD">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普外科</w:t>
            </w:r>
          </w:p>
        </w:tc>
        <w:tc>
          <w:tcPr>
            <w:tcW w:w="25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2F4A79">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高频电灼仪</w:t>
            </w:r>
          </w:p>
        </w:tc>
        <w:tc>
          <w:tcPr>
            <w:tcW w:w="127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A68B98">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2</w:t>
            </w:r>
          </w:p>
        </w:tc>
        <w:tc>
          <w:tcPr>
            <w:tcW w:w="88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2A0FCA5">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5A4AA">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D70E">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否</w:t>
            </w:r>
          </w:p>
        </w:tc>
      </w:tr>
      <w:tr w14:paraId="43A3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AF6605A">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2</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692599">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普外科</w:t>
            </w:r>
          </w:p>
        </w:tc>
        <w:tc>
          <w:tcPr>
            <w:tcW w:w="2535"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775FD5A8">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高频手术设备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47F0A">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80046">
            <w:pPr>
              <w:keepNext w:val="0"/>
              <w:keepLines w:val="0"/>
              <w:widowControl/>
              <w:suppressLineNumbers w:val="0"/>
              <w:shd w:val="clear"/>
              <w:spacing w:line="360" w:lineRule="auto"/>
              <w:jc w:val="center"/>
              <w:textAlignment w:val="center"/>
              <w:rPr>
                <w:rFonts w:hint="eastAsia" w:ascii="Times New Roman" w:hAnsi="Times New Roman" w:eastAsia="宋体" w:cs="宋体"/>
                <w:b w:val="0"/>
                <w:bCs w:val="0"/>
                <w:kern w:val="0"/>
                <w:sz w:val="24"/>
                <w:szCs w:val="24"/>
                <w:highlight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CDAEA">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ECE10">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否</w:t>
            </w:r>
          </w:p>
        </w:tc>
      </w:tr>
      <w:tr w14:paraId="7792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7D394DE">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3</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63878D">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麻醉科</w:t>
            </w:r>
          </w:p>
        </w:tc>
        <w:tc>
          <w:tcPr>
            <w:tcW w:w="2535"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6E989071">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穿戴式睡眠记录仪</w:t>
            </w:r>
          </w:p>
        </w:tc>
        <w:tc>
          <w:tcPr>
            <w:tcW w:w="127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502A548F">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7</w:t>
            </w:r>
          </w:p>
        </w:tc>
        <w:tc>
          <w:tcPr>
            <w:tcW w:w="88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595FF84">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1台</w:t>
            </w:r>
          </w:p>
        </w:tc>
        <w:tc>
          <w:tcPr>
            <w:tcW w:w="1365"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7EF310C8">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7</w:t>
            </w:r>
          </w:p>
        </w:tc>
        <w:tc>
          <w:tcPr>
            <w:tcW w:w="1611"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061ED973">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否</w:t>
            </w:r>
          </w:p>
        </w:tc>
      </w:tr>
      <w:tr w14:paraId="6733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11A84CD">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4</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0A0C65">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麻醉科</w:t>
            </w:r>
          </w:p>
        </w:tc>
        <w:tc>
          <w:tcPr>
            <w:tcW w:w="2535"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69A6DA5D">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耳迷走神经刺激器</w:t>
            </w:r>
          </w:p>
        </w:tc>
        <w:tc>
          <w:tcPr>
            <w:tcW w:w="127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061FD4E8">
            <w:pPr>
              <w:keepNext w:val="0"/>
              <w:keepLines w:val="0"/>
              <w:widowControl/>
              <w:suppressLineNumbers w:val="0"/>
              <w:shd w:val="clear"/>
              <w:spacing w:line="360" w:lineRule="auto"/>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1</w:t>
            </w:r>
          </w:p>
        </w:tc>
        <w:tc>
          <w:tcPr>
            <w:tcW w:w="88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73DA01FF">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2台</w:t>
            </w:r>
          </w:p>
        </w:tc>
        <w:tc>
          <w:tcPr>
            <w:tcW w:w="1365"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4FC7CCEA">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2</w:t>
            </w:r>
          </w:p>
        </w:tc>
        <w:tc>
          <w:tcPr>
            <w:tcW w:w="1611"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469096E8">
            <w:pPr>
              <w:keepNext w:val="0"/>
              <w:keepLines w:val="0"/>
              <w:widowControl/>
              <w:suppressLineNumbers w:val="0"/>
              <w:shd w:val="clear"/>
              <w:spacing w:line="360" w:lineRule="auto"/>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否</w:t>
            </w:r>
          </w:p>
        </w:tc>
      </w:tr>
    </w:tbl>
    <w:p w14:paraId="133DDE46">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default" w:ascii="Times New Roman" w:hAnsi="Times New Roman" w:eastAsia="宋体" w:cs="宋体"/>
          <w:b w:val="0"/>
          <w:bCs w:val="0"/>
          <w:sz w:val="24"/>
          <w:szCs w:val="24"/>
          <w:highlight w:val="none"/>
          <w:lang w:val="en-US" w:eastAsia="zh-CN"/>
        </w:rPr>
      </w:pPr>
      <w:r>
        <w:rPr>
          <w:rFonts w:hint="eastAsia" w:ascii="Times New Roman" w:hAnsi="Times New Roman" w:eastAsia="宋体" w:cs="宋体"/>
          <w:b w:val="0"/>
          <w:bCs w:val="0"/>
          <w:sz w:val="24"/>
          <w:szCs w:val="24"/>
          <w:highlight w:val="none"/>
          <w:lang w:val="en-US" w:eastAsia="zh-CN"/>
        </w:rPr>
        <w:t>注：各包件可兼投兼中</w:t>
      </w:r>
      <w:bookmarkStart w:id="0" w:name="_GoBack"/>
      <w:bookmarkEnd w:id="0"/>
    </w:p>
    <w:p w14:paraId="3E92D7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06149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询比</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563EB6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(1) 符合《中华人民共和国招标投标法》相关规定；</w:t>
      </w:r>
    </w:p>
    <w:p w14:paraId="2D8D1D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(2) 投标人及其投标产品和服务符合国家法律法规及强制性规范所规定的条件；</w:t>
      </w:r>
    </w:p>
    <w:p w14:paraId="548BA60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(3) 在中华人民共和国境内注册并取得营业执照的供应商，有相应的经营范围，并提供营业执照、税务登记证和机构代码证书；</w:t>
      </w:r>
    </w:p>
    <w:p w14:paraId="13B00F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(4)本项目不接受联合投标。</w:t>
      </w:r>
    </w:p>
    <w:p w14:paraId="609A3CC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(5)必须按国家规定提供医疗器械经营/生产许可证或备案表；</w:t>
      </w:r>
    </w:p>
    <w:p w14:paraId="7F2A58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(6)必须按国家规定提供设备的医疗器械注册证及登记表或备案表；</w:t>
      </w:r>
    </w:p>
    <w:p w14:paraId="02A5FA2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(7) 投标人未被“信用中国”网站(www.creditchina.gov.cn)列入失信被执行人名单、重大税收违法案件当事人名单，且未被“中国政府采购网”(www.ccgp.gov.cn)列入政府采购严重违法失信行为记录名单。</w:t>
      </w:r>
    </w:p>
    <w:p w14:paraId="5FA6DD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(8)投标单位应在承接此项目后不得转包。</w:t>
      </w:r>
    </w:p>
    <w:p w14:paraId="5D0AB76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2DBBB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w:t>
      </w:r>
      <w:r>
        <w:rPr>
          <w:rFonts w:hint="eastAsia" w:ascii="Times New Roman" w:hAnsi="Times New Roman" w:eastAsia="宋体" w:cs="宋体"/>
          <w:sz w:val="24"/>
          <w:szCs w:val="24"/>
          <w:highlight w:val="none"/>
          <w:lang w:val="en-US" w:eastAsia="zh-CN"/>
        </w:rPr>
        <w:t>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40099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lang w:eastAsia="zh-CN"/>
        </w:rPr>
        <w:t>比</w:t>
      </w:r>
      <w:r>
        <w:rPr>
          <w:rFonts w:hint="eastAsia" w:ascii="Times New Roman" w:hAnsi="Times New Roman" w:eastAsia="宋体" w:cs="宋体"/>
          <w:sz w:val="24"/>
          <w:szCs w:val="24"/>
          <w:highlight w:val="none"/>
          <w:lang w:val="en-US" w:eastAsia="zh-CN"/>
        </w:rPr>
        <w:t>选</w:t>
      </w:r>
      <w:r>
        <w:rPr>
          <w:rFonts w:hint="eastAsia" w:ascii="Times New Roman" w:hAnsi="Times New Roman" w:eastAsia="宋体" w:cs="宋体"/>
          <w:sz w:val="24"/>
          <w:szCs w:val="24"/>
          <w:highlight w:val="none"/>
        </w:rPr>
        <w:t>文件领取</w:t>
      </w:r>
      <w:r>
        <w:rPr>
          <w:rFonts w:hint="eastAsia" w:ascii="Times New Roman" w:hAnsi="Times New Roman" w:eastAsia="宋体" w:cs="宋体"/>
          <w:sz w:val="24"/>
          <w:szCs w:val="24"/>
          <w:highlight w:val="none"/>
          <w:lang w:val="en-US" w:eastAsia="zh-CN"/>
        </w:rPr>
        <w:t>方式</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提交</w:t>
      </w:r>
      <w:r>
        <w:rPr>
          <w:rFonts w:hint="eastAsia" w:ascii="Times New Roman" w:hAnsi="Times New Roman" w:eastAsia="宋体" w:cs="宋体"/>
          <w:sz w:val="24"/>
          <w:szCs w:val="24"/>
          <w:highlight w:val="none"/>
          <w:lang w:val="en-US" w:eastAsia="zh-CN"/>
        </w:rPr>
        <w:t>以下材料</w:t>
      </w:r>
      <w:r>
        <w:rPr>
          <w:rFonts w:hint="eastAsia" w:ascii="Times New Roman" w:hAnsi="Times New Roman" w:eastAsia="宋体" w:cs="宋体"/>
          <w:sz w:val="24"/>
          <w:szCs w:val="24"/>
          <w:highlight w:val="none"/>
        </w:rPr>
        <w:t>至上海市嘉定区</w:t>
      </w:r>
      <w:r>
        <w:rPr>
          <w:rFonts w:hint="eastAsia" w:ascii="Times New Roman" w:hAnsi="Times New Roman" w:eastAsia="宋体" w:cs="宋体"/>
          <w:sz w:val="24"/>
          <w:szCs w:val="24"/>
          <w:highlight w:val="none"/>
          <w:lang w:val="en-US" w:eastAsia="zh-CN"/>
        </w:rPr>
        <w:t>中心医院老住院大楼7楼724采购服务部</w:t>
      </w:r>
      <w:r>
        <w:rPr>
          <w:rFonts w:hint="eastAsia" w:ascii="Times New Roman" w:hAnsi="Times New Roman" w:eastAsia="宋体" w:cs="宋体"/>
          <w:sz w:val="24"/>
          <w:szCs w:val="24"/>
          <w:highlight w:val="none"/>
          <w:lang w:eastAsia="zh-CN"/>
        </w:rPr>
        <w:t>：</w:t>
      </w:r>
    </w:p>
    <w:p w14:paraId="1EF24730">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2.1营业执照彩色扫描件</w:t>
      </w:r>
    </w:p>
    <w:p w14:paraId="666A8A1C">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2.2法定代表人（单位负责人）授权委托书彩色扫描件（加盖公章）</w:t>
      </w:r>
    </w:p>
    <w:p w14:paraId="26F9B1FF">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2.3委托人身份证彩色扫描件（加盖公章）</w:t>
      </w:r>
    </w:p>
    <w:p w14:paraId="44528A66">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2.4《医疗器械经营许可证》或《医疗器械生产许可证》或《医疗器械经营备案凭证》（原件彩色扫描件加盖公章）。</w:t>
      </w:r>
    </w:p>
    <w:p w14:paraId="512389C5">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highlight w:val="none"/>
          <w:lang w:val="en-US" w:eastAsia="zh-CN"/>
        </w:rPr>
      </w:pPr>
      <w:r>
        <w:rPr>
          <w:rFonts w:hint="eastAsia" w:ascii="Times New Roman" w:hAnsi="Times New Roman" w:eastAsia="宋体" w:cs="宋体"/>
          <w:sz w:val="24"/>
          <w:szCs w:val="24"/>
          <w:highlight w:val="none"/>
          <w:lang w:eastAsia="zh-CN"/>
        </w:rPr>
        <w:t>以上所有资料均需加盖公章。</w:t>
      </w:r>
    </w:p>
    <w:p w14:paraId="1ED99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w:t>
      </w:r>
      <w:r>
        <w:rPr>
          <w:rFonts w:hint="eastAsia" w:ascii="Times New Roman" w:hAnsi="Times New Roman" w:eastAsia="宋体" w:cs="宋体"/>
          <w:sz w:val="24"/>
          <w:szCs w:val="24"/>
          <w:highlight w:val="none"/>
          <w:lang w:val="en-US" w:eastAsia="zh-CN"/>
        </w:rPr>
        <w:t>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0，逾期收到的或不符合规定的投标文件将被拒绝。</w:t>
      </w:r>
    </w:p>
    <w:p w14:paraId="03821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lang w:eastAsia="zh-CN"/>
        </w:rPr>
        <w:t>比</w:t>
      </w:r>
      <w:r>
        <w:rPr>
          <w:rFonts w:hint="eastAsia" w:ascii="Times New Roman" w:hAnsi="Times New Roman" w:eastAsia="宋体" w:cs="宋体"/>
          <w:sz w:val="24"/>
          <w:szCs w:val="24"/>
          <w:highlight w:val="none"/>
          <w:lang w:val="en-US" w:eastAsia="zh-CN"/>
        </w:rPr>
        <w:t>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04922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567CC2E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1C2E31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江</w:t>
      </w:r>
      <w:r>
        <w:rPr>
          <w:rFonts w:hint="eastAsia" w:ascii="Times New Roman" w:hAnsi="Times New Roman" w:eastAsia="宋体" w:cs="宋体"/>
          <w:sz w:val="24"/>
          <w:szCs w:val="24"/>
          <w:highlight w:val="none"/>
        </w:rPr>
        <w:t>老师</w:t>
      </w:r>
    </w:p>
    <w:p w14:paraId="589A5D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743545EB"/>
    <w:p w14:paraId="6ACB3A6D"/>
    <w:p w14:paraId="32222BFF"/>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1日</w:t>
      </w:r>
    </w:p>
    <w:p w14:paraId="2B9B9D50">
      <w:pPr>
        <w:pStyle w:val="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7"/>
        <w:pBdr>
          <w:bottom w:val="single" w:color="auto" w:sz="6" w:space="1"/>
        </w:pBdr>
        <w:spacing w:line="240" w:lineRule="auto"/>
        <w:jc w:val="center"/>
        <w:rPr>
          <w:rFonts w:ascii="Times New Roman" w:hAnsi="Times New Roman" w:eastAsia="宋体" w:cs="Arial"/>
          <w:sz w:val="21"/>
          <w:szCs w:val="21"/>
        </w:rPr>
      </w:pPr>
    </w:p>
    <w:p w14:paraId="7D385CD2">
      <w:pPr>
        <w:pStyle w:val="7"/>
        <w:pBdr>
          <w:bottom w:val="single" w:color="auto" w:sz="6" w:space="1"/>
        </w:pBdr>
        <w:spacing w:line="240" w:lineRule="auto"/>
        <w:jc w:val="center"/>
        <w:rPr>
          <w:rFonts w:ascii="Times New Roman" w:hAnsi="Times New Roman" w:eastAsia="宋体" w:cs="Arial"/>
          <w:sz w:val="21"/>
          <w:szCs w:val="21"/>
        </w:rPr>
      </w:pPr>
    </w:p>
    <w:p w14:paraId="009FEA7B">
      <w:pPr>
        <w:pStyle w:val="7"/>
        <w:pBdr>
          <w:bottom w:val="single" w:color="auto" w:sz="6" w:space="1"/>
        </w:pBdr>
        <w:spacing w:line="240" w:lineRule="auto"/>
        <w:jc w:val="center"/>
        <w:rPr>
          <w:rFonts w:ascii="Times New Roman" w:hAnsi="Times New Roman" w:eastAsia="宋体" w:cs="Arial"/>
          <w:sz w:val="21"/>
          <w:szCs w:val="21"/>
        </w:rPr>
      </w:pPr>
    </w:p>
    <w:p w14:paraId="0E8C274A">
      <w:pPr>
        <w:pStyle w:val="7"/>
        <w:pBdr>
          <w:bottom w:val="single" w:color="auto" w:sz="6" w:space="1"/>
        </w:pBdr>
        <w:spacing w:line="240" w:lineRule="auto"/>
        <w:jc w:val="center"/>
        <w:rPr>
          <w:rFonts w:ascii="Times New Roman" w:hAnsi="Times New Roman" w:eastAsia="宋体" w:cs="Arial"/>
          <w:sz w:val="21"/>
          <w:szCs w:val="21"/>
        </w:rPr>
      </w:pPr>
    </w:p>
    <w:p w14:paraId="79477D74">
      <w:pPr>
        <w:pStyle w:val="7"/>
        <w:pBdr>
          <w:bottom w:val="single" w:color="auto" w:sz="6" w:space="1"/>
        </w:pBdr>
        <w:spacing w:line="240" w:lineRule="auto"/>
        <w:jc w:val="center"/>
        <w:rPr>
          <w:rFonts w:ascii="Times New Roman" w:hAnsi="Times New Roman" w:eastAsia="宋体" w:cs="Arial"/>
          <w:sz w:val="21"/>
          <w:szCs w:val="21"/>
        </w:rPr>
      </w:pPr>
    </w:p>
    <w:p w14:paraId="614E22C8">
      <w:pPr>
        <w:pStyle w:val="7"/>
        <w:pBdr>
          <w:bottom w:val="single" w:color="auto" w:sz="6" w:space="1"/>
        </w:pBdr>
        <w:spacing w:line="240" w:lineRule="auto"/>
        <w:jc w:val="center"/>
        <w:rPr>
          <w:rFonts w:ascii="Times New Roman" w:hAnsi="Times New Roman" w:eastAsia="宋体" w:cs="Arial"/>
          <w:sz w:val="21"/>
          <w:szCs w:val="21"/>
        </w:rPr>
      </w:pPr>
    </w:p>
    <w:p w14:paraId="35625FC8">
      <w:pPr>
        <w:pStyle w:val="7"/>
        <w:rPr>
          <w:rFonts w:ascii="Times New Roman" w:hAnsi="Times New Roman" w:eastAsia="宋体" w:cs="Arial"/>
          <w:sz w:val="21"/>
          <w:szCs w:val="21"/>
        </w:rPr>
      </w:pPr>
    </w:p>
    <w:p w14:paraId="7C077BD0">
      <w:pPr>
        <w:pStyle w:val="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7"/>
        <w:spacing w:line="360" w:lineRule="auto"/>
        <w:rPr>
          <w:rFonts w:ascii="Times New Roman" w:hAnsi="Times New Roman" w:eastAsia="宋体" w:cs="Arial"/>
          <w:sz w:val="21"/>
          <w:szCs w:val="21"/>
        </w:rPr>
      </w:pPr>
    </w:p>
    <w:p w14:paraId="11E36B5B">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7"/>
        <w:spacing w:line="360" w:lineRule="auto"/>
        <w:rPr>
          <w:rFonts w:ascii="Times New Roman" w:hAnsi="Times New Roman" w:eastAsia="宋体" w:cs="Arial"/>
          <w:sz w:val="21"/>
          <w:szCs w:val="21"/>
          <w:u w:val="single"/>
        </w:rPr>
      </w:pPr>
    </w:p>
    <w:p w14:paraId="4FB77481">
      <w:pPr>
        <w:pStyle w:val="7"/>
        <w:rPr>
          <w:rFonts w:ascii="Times New Roman" w:hAnsi="Times New Roman" w:eastAsia="宋体" w:cs="Arial"/>
          <w:sz w:val="21"/>
          <w:szCs w:val="21"/>
        </w:rPr>
      </w:pPr>
    </w:p>
    <w:p w14:paraId="4887B81B">
      <w:pPr>
        <w:pStyle w:val="7"/>
        <w:rPr>
          <w:rFonts w:ascii="Times New Roman" w:hAnsi="Times New Roman" w:eastAsia="宋体" w:cs="Arial"/>
          <w:sz w:val="21"/>
          <w:szCs w:val="21"/>
        </w:rPr>
      </w:pPr>
    </w:p>
    <w:p w14:paraId="75291D02">
      <w:pPr>
        <w:pStyle w:val="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p w14:paraId="5EC655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E3177"/>
    <w:rsid w:val="0E323572"/>
    <w:rsid w:val="1D3E3177"/>
    <w:rsid w:val="23136EA2"/>
    <w:rsid w:val="57256F06"/>
    <w:rsid w:val="6BB232A3"/>
    <w:rsid w:val="77C701C7"/>
    <w:rsid w:val="78EE0575"/>
    <w:rsid w:val="7C8F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w:basedOn w:val="2"/>
    <w:qFormat/>
    <w:uiPriority w:val="0"/>
    <w:pPr>
      <w:ind w:firstLine="420" w:firstLineChars="100"/>
    </w:pPr>
  </w:style>
  <w:style w:type="paragraph" w:customStyle="1" w:styleId="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1250</Words>
  <Characters>1364</Characters>
  <Lines>0</Lines>
  <Paragraphs>0</Paragraphs>
  <TotalTime>0</TotalTime>
  <ScaleCrop>false</ScaleCrop>
  <LinksUpToDate>false</LinksUpToDate>
  <CharactersWithSpaces>1666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2026-06-22T00:34:00Z</dcterms:created>
  <dc:creator>spring</dc:creator>
  <cp:lastModifiedBy>spring</cp:lastModifiedBy>
  <dcterms:modified xsi:type="dcterms:W3CDTF">2026-07-01T01:12:14Z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4F9F7787C3A94D88BD8056352FE37F1C_13</vt:lpwstr>
  </property>
  <property fmtid="{D5CDD505-2E9C-101B-9397-08002B2CF9AE}" pid="4" name="KSOTemplateDocerSaveRecord">
    <vt:lpwstr>eyJoZGlkIjoiYzU0OWM3N2Q1NTliYzk0NDlkM2E5ZWFiYjljZTAwZTciLCJ1c2VySWQiOiIzNjM0MjI1MzkifQ==</vt:lpwstr>
  </property>
</Properties>
</file>