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4E777">
      <w:pPr>
        <w:jc w:val="center"/>
        <w:rPr>
          <w:rFonts w:hint="eastAsia"/>
          <w:sz w:val="32"/>
          <w:szCs w:val="32"/>
        </w:rPr>
      </w:pPr>
      <w:r>
        <w:rPr>
          <w:rFonts w:hint="eastAsia"/>
          <w:sz w:val="32"/>
          <w:szCs w:val="32"/>
          <w:lang w:eastAsia="zh-CN"/>
        </w:rPr>
        <w:t>遴选</w:t>
      </w:r>
      <w:r>
        <w:rPr>
          <w:rFonts w:hint="eastAsia"/>
          <w:sz w:val="32"/>
          <w:szCs w:val="32"/>
        </w:rPr>
        <w:t>公告</w:t>
      </w:r>
    </w:p>
    <w:p w14:paraId="5CEF35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为进一步加强临床试剂的管理和监督，规范临床试剂的采购、存储、使用和监管，切实保障医疗质量和医疗安全，对</w:t>
      </w:r>
      <w:r>
        <w:rPr>
          <w:rFonts w:hint="eastAsia" w:ascii="宋体" w:hAnsi="宋体" w:eastAsia="宋体" w:cs="宋体"/>
          <w:sz w:val="24"/>
          <w:szCs w:val="24"/>
          <w:lang w:val="en-US" w:eastAsia="zh-CN"/>
        </w:rPr>
        <w:t>一批新增</w:t>
      </w:r>
      <w:r>
        <w:rPr>
          <w:rFonts w:hint="eastAsia" w:ascii="宋体" w:hAnsi="宋体" w:eastAsia="宋体" w:cs="宋体"/>
          <w:sz w:val="24"/>
          <w:szCs w:val="24"/>
        </w:rPr>
        <w:t>检测试剂进行</w:t>
      </w:r>
      <w:r>
        <w:rPr>
          <w:rFonts w:hint="eastAsia" w:ascii="宋体" w:hAnsi="宋体" w:eastAsia="宋体" w:cs="宋体"/>
          <w:sz w:val="24"/>
          <w:szCs w:val="24"/>
          <w:lang w:eastAsia="zh-CN"/>
        </w:rPr>
        <w:t>供应商遴选</w:t>
      </w:r>
      <w:r>
        <w:rPr>
          <w:rFonts w:hint="eastAsia" w:ascii="宋体" w:hAnsi="宋体" w:eastAsia="宋体" w:cs="宋体"/>
          <w:sz w:val="24"/>
          <w:szCs w:val="24"/>
        </w:rPr>
        <w:t>。欢迎符合条件的供应商前来参与。</w:t>
      </w:r>
    </w:p>
    <w:p w14:paraId="035FCCF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遴选</w:t>
      </w:r>
      <w:r>
        <w:rPr>
          <w:rFonts w:hint="eastAsia" w:ascii="宋体" w:hAnsi="宋体" w:eastAsia="宋体" w:cs="宋体"/>
          <w:b/>
          <w:bCs/>
          <w:sz w:val="24"/>
          <w:szCs w:val="24"/>
          <w:highlight w:val="none"/>
        </w:rPr>
        <w:t>内容</w:t>
      </w:r>
    </w:p>
    <w:p w14:paraId="237EA368">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项目名称：嘉定区中心医院新增试剂（第二批）供应商遴选（第二次）</w:t>
      </w:r>
    </w:p>
    <w:p w14:paraId="333DC860">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项目编号JZX-2024-085</w:t>
      </w:r>
    </w:p>
    <w:p w14:paraId="1920DB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3、项目</w:t>
      </w:r>
      <w:r>
        <w:rPr>
          <w:rFonts w:hint="eastAsia" w:ascii="宋体" w:hAnsi="宋体" w:eastAsia="宋体" w:cs="宋体"/>
          <w:sz w:val="24"/>
          <w:szCs w:val="24"/>
        </w:rPr>
        <w:t>内容</w:t>
      </w:r>
    </w:p>
    <w:tbl>
      <w:tblPr>
        <w:tblStyle w:val="13"/>
        <w:tblW w:w="8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16"/>
        <w:gridCol w:w="3390"/>
        <w:gridCol w:w="3023"/>
      </w:tblGrid>
      <w:tr w14:paraId="5D1D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tcPr>
          <w:p w14:paraId="7DD96A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w:t>
            </w:r>
          </w:p>
        </w:tc>
        <w:tc>
          <w:tcPr>
            <w:tcW w:w="916" w:type="dxa"/>
          </w:tcPr>
          <w:p w14:paraId="255CE0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w:t>
            </w:r>
          </w:p>
        </w:tc>
        <w:tc>
          <w:tcPr>
            <w:tcW w:w="3390" w:type="dxa"/>
          </w:tcPr>
          <w:p w14:paraId="4B3C08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名称</w:t>
            </w:r>
          </w:p>
        </w:tc>
        <w:tc>
          <w:tcPr>
            <w:tcW w:w="3023" w:type="dxa"/>
          </w:tcPr>
          <w:p w14:paraId="13FD44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7EA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top"/>
          </w:tcPr>
          <w:p w14:paraId="6ABA3F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916" w:type="dxa"/>
            <w:vAlign w:val="center"/>
          </w:tcPr>
          <w:p w14:paraId="62898058">
            <w:pPr>
              <w:keepNext w:val="0"/>
              <w:keepLines w:val="0"/>
              <w:widowControl/>
              <w:suppressLineNumbers w:val="0"/>
              <w:jc w:val="center"/>
              <w:textAlignment w:val="center"/>
              <w:rPr>
                <w:rFonts w:hint="eastAsia" w:ascii="宋体" w:hAnsi="宋体" w:eastAsia="宋体" w:cs="宋体"/>
                <w:color w:val="auto"/>
                <w:sz w:val="24"/>
                <w:szCs w:val="24"/>
                <w:vertAlign w:val="baseline"/>
              </w:rPr>
            </w:pPr>
            <w:r>
              <w:rPr>
                <w:rFonts w:hint="eastAsia" w:ascii="宋体" w:hAnsi="宋体" w:eastAsia="宋体" w:cs="宋体"/>
                <w:i w:val="0"/>
                <w:iCs w:val="0"/>
                <w:color w:val="auto"/>
                <w:kern w:val="0"/>
                <w:sz w:val="22"/>
                <w:szCs w:val="22"/>
                <w:u w:val="none"/>
                <w:lang w:val="en-US" w:eastAsia="zh-CN" w:bidi="ar"/>
              </w:rPr>
              <w:t>检验科</w:t>
            </w:r>
          </w:p>
        </w:tc>
        <w:tc>
          <w:tcPr>
            <w:tcW w:w="3390" w:type="dxa"/>
            <w:vAlign w:val="center"/>
          </w:tcPr>
          <w:p w14:paraId="44D209A4">
            <w:pPr>
              <w:keepNext w:val="0"/>
              <w:keepLines w:val="0"/>
              <w:widowControl/>
              <w:suppressLineNumbers w:val="0"/>
              <w:jc w:val="center"/>
              <w:textAlignment w:val="center"/>
              <w:rPr>
                <w:rFonts w:hint="eastAsia" w:ascii="宋体" w:hAnsi="宋体" w:eastAsia="宋体" w:cs="宋体"/>
                <w:color w:val="auto"/>
                <w:sz w:val="24"/>
                <w:szCs w:val="24"/>
                <w:vertAlign w:val="baseline"/>
              </w:rPr>
            </w:pPr>
            <w:r>
              <w:rPr>
                <w:rFonts w:hint="eastAsia" w:ascii="宋体" w:hAnsi="宋体" w:eastAsia="宋体" w:cs="宋体"/>
                <w:i w:val="0"/>
                <w:iCs w:val="0"/>
                <w:color w:val="auto"/>
                <w:kern w:val="0"/>
                <w:sz w:val="22"/>
                <w:szCs w:val="22"/>
                <w:u w:val="none"/>
                <w:lang w:val="en-US" w:eastAsia="zh-CN" w:bidi="ar"/>
              </w:rPr>
              <w:t>高尔基体蛋白73测定试剂盒（磁微粒化学发光免疫分析法）</w:t>
            </w:r>
          </w:p>
        </w:tc>
        <w:tc>
          <w:tcPr>
            <w:tcW w:w="3023" w:type="dxa"/>
            <w:vAlign w:val="top"/>
          </w:tcPr>
          <w:p w14:paraId="4C382088">
            <w:pPr>
              <w:keepNext w:val="0"/>
              <w:keepLines w:val="0"/>
              <w:pageBreakBefore w:val="0"/>
              <w:widowControl/>
              <w:suppressLineNumbers w:val="0"/>
              <w:kinsoku/>
              <w:wordWrap/>
              <w:overflowPunct/>
              <w:topLinePunct w:val="0"/>
              <w:autoSpaceDN/>
              <w:bidi w:val="0"/>
              <w:adjustRightInd/>
              <w:snapToGrid/>
              <w:spacing w:line="260" w:lineRule="exact"/>
              <w:jc w:val="center"/>
              <w:textAlignment w:val="auto"/>
              <w:rPr>
                <w:rFonts w:hint="eastAsia" w:ascii="宋体" w:hAnsi="宋体" w:eastAsia="宋体" w:cs="宋体"/>
                <w:color w:val="auto"/>
                <w:sz w:val="24"/>
                <w:szCs w:val="24"/>
                <w:vertAlign w:val="baseline"/>
              </w:rPr>
            </w:pPr>
            <w:r>
              <w:rPr>
                <w:rFonts w:hint="eastAsia" w:ascii="宋体" w:hAnsi="宋体" w:eastAsia="宋体" w:cs="宋体"/>
                <w:i w:val="0"/>
                <w:iCs w:val="0"/>
                <w:color w:val="auto"/>
                <w:kern w:val="0"/>
                <w:sz w:val="20"/>
                <w:szCs w:val="20"/>
                <w:u w:val="none"/>
                <w:lang w:val="en-US" w:eastAsia="zh-CN" w:bidi="ar"/>
              </w:rPr>
              <w:t>用于肝损伤、肝炎、肝硬化、肝癌等相关疾病的患病风险评估与预测。配套设备：热景C3000</w:t>
            </w:r>
          </w:p>
        </w:tc>
      </w:tr>
      <w:tr w14:paraId="2282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tcPr>
          <w:p w14:paraId="1EFAD6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916" w:type="dxa"/>
            <w:vAlign w:val="center"/>
          </w:tcPr>
          <w:p w14:paraId="2E2B0F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病理科</w:t>
            </w:r>
          </w:p>
        </w:tc>
        <w:tc>
          <w:tcPr>
            <w:tcW w:w="3390" w:type="dxa"/>
            <w:vAlign w:val="center"/>
          </w:tcPr>
          <w:p w14:paraId="1D7E10F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核酸提取试剂</w:t>
            </w:r>
          </w:p>
        </w:tc>
        <w:tc>
          <w:tcPr>
            <w:tcW w:w="3023" w:type="dxa"/>
            <w:vAlign w:val="top"/>
          </w:tcPr>
          <w:p w14:paraId="4576E8C3">
            <w:pPr>
              <w:keepNext w:val="0"/>
              <w:keepLines w:val="0"/>
              <w:pageBreakBefore w:val="0"/>
              <w:kinsoku/>
              <w:wordWrap/>
              <w:overflowPunct/>
              <w:topLinePunct w:val="0"/>
              <w:autoSpaceDN/>
              <w:bidi w:val="0"/>
              <w:adjustRightInd/>
              <w:snapToGrid/>
              <w:spacing w:line="260" w:lineRule="exac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0"/>
                <w:szCs w:val="20"/>
                <w:highlight w:val="none"/>
              </w:rPr>
              <w:t>用于PCR实验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手工提取，石蜡或细胞样本DNA、RNA的核酸提取，可用于肿瘤的诊断、分型、预后及疗效评价。</w:t>
            </w:r>
          </w:p>
        </w:tc>
      </w:tr>
      <w:tr w14:paraId="695F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tcPr>
          <w:p w14:paraId="6A468C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916" w:type="dxa"/>
            <w:vAlign w:val="center"/>
          </w:tcPr>
          <w:p w14:paraId="3D9274D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病理科</w:t>
            </w:r>
          </w:p>
        </w:tc>
        <w:tc>
          <w:tcPr>
            <w:tcW w:w="3390" w:type="dxa"/>
            <w:vAlign w:val="center"/>
          </w:tcPr>
          <w:p w14:paraId="247040B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荧光原位杂交探针试剂盒</w:t>
            </w:r>
          </w:p>
        </w:tc>
        <w:tc>
          <w:tcPr>
            <w:tcW w:w="3023" w:type="dxa"/>
            <w:vAlign w:val="top"/>
          </w:tcPr>
          <w:p w14:paraId="6623AF98">
            <w:pPr>
              <w:keepNext w:val="0"/>
              <w:keepLines w:val="0"/>
              <w:pageBreakBefore w:val="0"/>
              <w:kinsoku/>
              <w:wordWrap/>
              <w:overflowPunct/>
              <w:topLinePunct w:val="0"/>
              <w:autoSpaceDN/>
              <w:bidi w:val="0"/>
              <w:adjustRightInd/>
              <w:snapToGrid/>
              <w:spacing w:line="260" w:lineRule="exac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0"/>
                <w:szCs w:val="20"/>
                <w:highlight w:val="none"/>
              </w:rPr>
              <w:t>用于荧光原位杂交检测，用于肿瘤的诊断、分型及治疗</w:t>
            </w:r>
          </w:p>
        </w:tc>
      </w:tr>
      <w:tr w14:paraId="0E88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tcPr>
          <w:p w14:paraId="1E6F70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916" w:type="dxa"/>
            <w:vAlign w:val="center"/>
          </w:tcPr>
          <w:p w14:paraId="1BA02CC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病理科</w:t>
            </w:r>
          </w:p>
        </w:tc>
        <w:tc>
          <w:tcPr>
            <w:tcW w:w="3390" w:type="dxa"/>
            <w:vAlign w:val="center"/>
          </w:tcPr>
          <w:p w14:paraId="2116AB2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PCR扩增试剂盒</w:t>
            </w:r>
          </w:p>
        </w:tc>
        <w:tc>
          <w:tcPr>
            <w:tcW w:w="3023" w:type="dxa"/>
            <w:vAlign w:val="top"/>
          </w:tcPr>
          <w:p w14:paraId="3A3EA815">
            <w:pPr>
              <w:keepNext w:val="0"/>
              <w:keepLines w:val="0"/>
              <w:pageBreakBefore w:val="0"/>
              <w:kinsoku/>
              <w:wordWrap/>
              <w:overflowPunct/>
              <w:topLinePunct w:val="0"/>
              <w:autoSpaceDN/>
              <w:bidi w:val="0"/>
              <w:adjustRightInd/>
              <w:snapToGrid/>
              <w:spacing w:line="260" w:lineRule="exac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0"/>
                <w:szCs w:val="20"/>
                <w:highlight w:val="none"/>
              </w:rPr>
              <w:t>PCR实验，PCR仪，适应症:肿瘤的诊断、分型、预后及疗效评价</w:t>
            </w:r>
          </w:p>
        </w:tc>
      </w:tr>
    </w:tbl>
    <w:p w14:paraId="71EB354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0419D8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二、资格要求</w:t>
      </w:r>
    </w:p>
    <w:p w14:paraId="3FE15E77">
      <w:pPr>
        <w:numPr>
          <w:ilvl w:val="0"/>
          <w:numId w:val="3"/>
        </w:numPr>
        <w:snapToGrid w:val="0"/>
        <w:spacing w:line="360" w:lineRule="auto"/>
        <w:rPr>
          <w:rFonts w:hint="eastAsia" w:ascii="宋体" w:hAnsi="宋体" w:eastAsia="宋体" w:cs="宋体"/>
          <w:color w:val="000000"/>
          <w:sz w:val="24"/>
          <w:highlight w:val="none"/>
        </w:rPr>
      </w:pPr>
      <w:bookmarkStart w:id="0" w:name="_Hlk114646577"/>
      <w:r>
        <w:rPr>
          <w:rFonts w:hint="eastAsia" w:ascii="宋体" w:hAnsi="宋体" w:eastAsia="宋体" w:cs="宋体"/>
          <w:color w:val="000000"/>
          <w:sz w:val="24"/>
          <w:highlight w:val="none"/>
        </w:rPr>
        <w:t>在中华人民共和国境内注册并取得营业执照；</w:t>
      </w:r>
    </w:p>
    <w:p w14:paraId="45C3A040">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sz w:val="24"/>
          <w:highlight w:val="none"/>
        </w:rPr>
        <w:t>具有独立承担民事责任的能力</w:t>
      </w:r>
      <w:r>
        <w:rPr>
          <w:rFonts w:hint="eastAsia" w:ascii="宋体" w:hAnsi="宋体" w:eastAsia="宋体" w:cs="宋体"/>
          <w:color w:val="000000"/>
          <w:sz w:val="24"/>
          <w:highlight w:val="none"/>
        </w:rPr>
        <w:t>；</w:t>
      </w:r>
    </w:p>
    <w:p w14:paraId="78671202">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具有良好的商业信誉和健全的财务会计制度；</w:t>
      </w:r>
    </w:p>
    <w:p w14:paraId="4BA428CA">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有依法缴纳税收和社会保障资金的良好记录；</w:t>
      </w:r>
    </w:p>
    <w:p w14:paraId="1304BFB1">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未被列入“信用中国”网站(www.creditchina.gov.cn)失信被执行人名单、重大税收违法案件当事人名单的供应商；</w:t>
      </w:r>
    </w:p>
    <w:p w14:paraId="57E9A951">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供应商及其提供的产品和服务符合国家法律法规及强制性规范所规定的条件；</w:t>
      </w:r>
    </w:p>
    <w:p w14:paraId="5FBD4625">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本项目不接受联合体；</w:t>
      </w:r>
    </w:p>
    <w:p w14:paraId="17150FE1">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本项目不接受分包或转包；</w:t>
      </w:r>
    </w:p>
    <w:p w14:paraId="4CA1B040">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具有相应的医疗器械经营（生产）许可证（备案）和所投产品的医疗器械注册证（备案）。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按国家规定</w:t>
      </w:r>
      <w:r>
        <w:rPr>
          <w:rFonts w:hint="eastAsia" w:ascii="宋体" w:hAnsi="宋体" w:eastAsia="宋体" w:cs="宋体"/>
          <w:color w:val="auto"/>
          <w:sz w:val="24"/>
          <w:szCs w:val="24"/>
          <w:lang w:eastAsia="zh-CN"/>
        </w:rPr>
        <w:t>）</w:t>
      </w:r>
    </w:p>
    <w:bookmarkEnd w:id="0"/>
    <w:p w14:paraId="1B553963">
      <w:pPr>
        <w:numPr>
          <w:ilvl w:val="0"/>
          <w:numId w:val="3"/>
        </w:numPr>
        <w:snapToGrid w:val="0"/>
        <w:spacing w:line="360" w:lineRule="auto"/>
        <w:rPr>
          <w:rFonts w:hint="eastAsia" w:ascii="宋体" w:hAnsi="宋体" w:eastAsia="宋体" w:cs="宋体"/>
          <w:b w:val="0"/>
          <w:bCs w:val="0"/>
          <w:color w:val="000000"/>
          <w:sz w:val="24"/>
          <w:highlight w:val="none"/>
          <w:u w:val="single"/>
        </w:rPr>
      </w:pPr>
      <w:r>
        <w:rPr>
          <w:rFonts w:hint="eastAsia" w:ascii="宋体" w:hAnsi="宋体" w:eastAsia="宋体" w:cs="宋体"/>
          <w:b w:val="0"/>
          <w:bCs w:val="0"/>
          <w:color w:val="000000"/>
          <w:sz w:val="24"/>
          <w:highlight w:val="none"/>
          <w:u w:val="single"/>
          <w:lang w:eastAsia="zh-CN"/>
        </w:rPr>
        <w:t>单位负责人或法定代表人为同一人，或者存在控股、管理关系的不同供应商，参加同一包件或者未划分包件的同一项目的，相关响应均无效</w:t>
      </w:r>
      <w:r>
        <w:rPr>
          <w:rFonts w:hint="eastAsia" w:ascii="宋体" w:hAnsi="宋体" w:eastAsia="宋体" w:cs="宋体"/>
          <w:b w:val="0"/>
          <w:bCs w:val="0"/>
          <w:color w:val="000000"/>
          <w:sz w:val="24"/>
          <w:highlight w:val="none"/>
          <w:u w:val="single"/>
        </w:rPr>
        <w:t>。</w:t>
      </w:r>
    </w:p>
    <w:p w14:paraId="748EC8D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三、时间地点安排</w:t>
      </w:r>
    </w:p>
    <w:p w14:paraId="165AD3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1、遴选</w:t>
      </w:r>
      <w:r>
        <w:rPr>
          <w:rFonts w:hint="eastAsia" w:ascii="宋体" w:hAnsi="宋体" w:eastAsia="宋体" w:cs="宋体"/>
          <w:sz w:val="24"/>
          <w:szCs w:val="24"/>
        </w:rPr>
        <w:t>文件领取时间</w:t>
      </w:r>
      <w:r>
        <w:rPr>
          <w:rFonts w:hint="eastAsia" w:ascii="宋体" w:hAnsi="宋体" w:eastAsia="宋体" w:cs="宋体"/>
          <w:sz w:val="24"/>
          <w:szCs w:val="24"/>
          <w:lang w:eastAsia="zh-CN"/>
        </w:rPr>
        <w:t>：</w:t>
      </w:r>
      <w:r>
        <w:rPr>
          <w:rFonts w:hint="eastAsia" w:ascii="宋体" w:hAnsi="宋体" w:eastAsia="宋体" w:cs="宋体"/>
          <w:sz w:val="24"/>
          <w:szCs w:val="24"/>
        </w:rPr>
        <w:t>2024年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Times New Roman" w:hAnsi="Times New Roman" w:eastAsia="宋体" w:cs="宋体"/>
          <w:kern w:val="0"/>
          <w:sz w:val="24"/>
          <w:szCs w:val="24"/>
        </w:rPr>
        <w:t>上午</w:t>
      </w:r>
      <w:r>
        <w:rPr>
          <w:rFonts w:hint="eastAsia" w:ascii="宋体" w:hAnsi="宋体" w:eastAsia="宋体" w:cs="宋体"/>
          <w:sz w:val="24"/>
          <w:szCs w:val="24"/>
          <w:lang w:val="en-US" w:eastAsia="zh-CN"/>
        </w:rPr>
        <w:t>9：30～11：00</w:t>
      </w:r>
      <w:r>
        <w:rPr>
          <w:rFonts w:hint="eastAsia" w:ascii="Times New Roman" w:hAnsi="Times New Roman" w:eastAsia="宋体" w:cs="宋体"/>
          <w:kern w:val="0"/>
          <w:sz w:val="24"/>
          <w:szCs w:val="24"/>
        </w:rPr>
        <w:t>时，下午</w:t>
      </w:r>
      <w:r>
        <w:rPr>
          <w:rFonts w:hint="eastAsia" w:ascii="宋体" w:hAnsi="宋体" w:eastAsia="宋体" w:cs="宋体"/>
          <w:sz w:val="24"/>
          <w:szCs w:val="24"/>
          <w:lang w:val="en-US" w:eastAsia="zh-CN"/>
        </w:rPr>
        <w:t>14:00～16：00</w:t>
      </w:r>
      <w:r>
        <w:rPr>
          <w:rFonts w:hint="eastAsia" w:ascii="Times New Roman" w:hAnsi="Times New Roman" w:eastAsia="宋体" w:cs="宋体"/>
          <w:kern w:val="0"/>
          <w:sz w:val="24"/>
          <w:szCs w:val="24"/>
        </w:rPr>
        <w:t>时</w:t>
      </w:r>
      <w:r>
        <w:rPr>
          <w:rFonts w:hint="eastAsia" w:ascii="宋体" w:hAnsi="宋体" w:eastAsia="宋体" w:cs="宋体"/>
          <w:sz w:val="24"/>
          <w:szCs w:val="24"/>
        </w:rPr>
        <w:t>。</w:t>
      </w:r>
    </w:p>
    <w:p w14:paraId="574916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遴选</w:t>
      </w:r>
      <w:r>
        <w:rPr>
          <w:rFonts w:hint="eastAsia" w:ascii="宋体" w:hAnsi="宋体" w:eastAsia="宋体" w:cs="宋体"/>
          <w:sz w:val="24"/>
          <w:szCs w:val="24"/>
        </w:rPr>
        <w:t>文件领取</w:t>
      </w:r>
      <w:r>
        <w:rPr>
          <w:rFonts w:hint="eastAsia" w:ascii="宋体" w:hAnsi="宋体" w:eastAsia="宋体" w:cs="宋体"/>
          <w:sz w:val="24"/>
          <w:szCs w:val="24"/>
          <w:lang w:val="en-US" w:eastAsia="zh-CN"/>
        </w:rPr>
        <w:t>方式</w:t>
      </w:r>
      <w:r>
        <w:rPr>
          <w:rFonts w:hint="eastAsia" w:ascii="宋体" w:hAnsi="宋体" w:eastAsia="宋体" w:cs="宋体"/>
          <w:sz w:val="24"/>
          <w:szCs w:val="24"/>
          <w:lang w:eastAsia="zh-CN"/>
        </w:rPr>
        <w:t>：</w:t>
      </w:r>
      <w:r>
        <w:rPr>
          <w:rFonts w:hint="eastAsia" w:ascii="宋体" w:hAnsi="宋体" w:eastAsia="宋体" w:cs="宋体"/>
          <w:sz w:val="24"/>
          <w:szCs w:val="24"/>
        </w:rPr>
        <w:t>提交</w:t>
      </w:r>
      <w:r>
        <w:rPr>
          <w:rFonts w:hint="eastAsia" w:ascii="宋体" w:hAnsi="宋体" w:eastAsia="宋体" w:cs="宋体"/>
          <w:sz w:val="24"/>
          <w:szCs w:val="24"/>
          <w:lang w:val="en-US" w:eastAsia="zh-CN"/>
        </w:rPr>
        <w:t>以下材料</w:t>
      </w:r>
      <w:r>
        <w:rPr>
          <w:rFonts w:hint="eastAsia" w:ascii="宋体" w:hAnsi="宋体" w:eastAsia="宋体" w:cs="宋体"/>
          <w:sz w:val="24"/>
          <w:szCs w:val="24"/>
        </w:rPr>
        <w:t>至上海市嘉定区</w:t>
      </w:r>
      <w:r>
        <w:rPr>
          <w:rFonts w:hint="eastAsia" w:ascii="宋体" w:hAnsi="宋体" w:eastAsia="宋体" w:cs="宋体"/>
          <w:sz w:val="24"/>
          <w:szCs w:val="24"/>
          <w:lang w:val="en-US" w:eastAsia="zh-CN"/>
        </w:rPr>
        <w:t>中心医院老住院大楼7楼采购服务部。</w:t>
      </w:r>
    </w:p>
    <w:p w14:paraId="3E6980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加盖供应商企业印章的《医疗器械经营许可证》、《营业执照》;加盖供应商企业印章的原生产企业的《医疗器械生产企业许可证》、《医疗器械产品注册证》、《营业执照》;加盖生产企业印章的生产厂家授权书。委托授权书应明确授权范围和授权时限。</w:t>
      </w:r>
    </w:p>
    <w:p w14:paraId="667E2F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）法定代表人授权委托书；</w:t>
      </w:r>
    </w:p>
    <w:p w14:paraId="76CDDF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授权人及</w:t>
      </w:r>
      <w:r>
        <w:rPr>
          <w:rFonts w:hint="eastAsia" w:ascii="宋体" w:hAnsi="宋体" w:eastAsia="宋体" w:cs="宋体"/>
          <w:color w:val="auto"/>
          <w:sz w:val="24"/>
          <w:szCs w:val="24"/>
          <w:lang w:eastAsia="zh-CN"/>
        </w:rPr>
        <w:t>被授权人身份证</w:t>
      </w:r>
      <w:r>
        <w:rPr>
          <w:rFonts w:hint="eastAsia" w:ascii="宋体" w:hAnsi="宋体" w:eastAsia="宋体" w:cs="宋体"/>
          <w:color w:val="auto"/>
          <w:sz w:val="24"/>
          <w:szCs w:val="24"/>
          <w:lang w:val="en-US" w:eastAsia="zh-CN"/>
        </w:rPr>
        <w:t>复印件（原件备查）；</w:t>
      </w:r>
    </w:p>
    <w:p w14:paraId="2407D5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宋体" w:eastAsia="宋体" w:cs="Courier New"/>
          <w:color w:val="auto"/>
          <w:kern w:val="0"/>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需提供中国裁判文书网下载的全国无行贿证明文件。</w:t>
      </w:r>
    </w:p>
    <w:p w14:paraId="04C374C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lang w:val="en-US" w:eastAsia="zh-CN"/>
        </w:rPr>
      </w:pPr>
      <w:r>
        <w:rPr>
          <w:rFonts w:hint="eastAsia" w:hAnsi="宋体" w:cs="Courier New"/>
          <w:kern w:val="0"/>
          <w:sz w:val="24"/>
          <w:szCs w:val="24"/>
          <w:lang w:val="en-US" w:eastAsia="zh-CN"/>
        </w:rPr>
        <w:t>以上所有资料均需加盖公章。</w:t>
      </w:r>
    </w:p>
    <w:p w14:paraId="0259FD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遴选</w:t>
      </w:r>
      <w:r>
        <w:rPr>
          <w:rFonts w:hint="eastAsia" w:ascii="宋体" w:hAnsi="宋体" w:eastAsia="宋体" w:cs="宋体"/>
          <w:sz w:val="24"/>
          <w:szCs w:val="24"/>
        </w:rPr>
        <w:t>文件递交</w:t>
      </w:r>
      <w:r>
        <w:rPr>
          <w:rFonts w:hint="eastAsia" w:ascii="宋体" w:hAnsi="宋体" w:eastAsia="宋体" w:cs="宋体"/>
          <w:sz w:val="24"/>
          <w:szCs w:val="24"/>
          <w:lang w:eastAsia="zh-CN"/>
        </w:rPr>
        <w:t>截止</w:t>
      </w: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rPr>
        <w:t>2024年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4</w:t>
      </w:r>
      <w:r>
        <w:rPr>
          <w:rFonts w:hint="eastAsia" w:ascii="宋体" w:hAnsi="宋体" w:eastAsia="宋体" w:cs="宋体"/>
          <w:sz w:val="24"/>
          <w:szCs w:val="24"/>
        </w:rPr>
        <w:t>日</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rPr>
        <w:t>0，逾期收到的或不符合规定的投标文件将被拒绝。</w:t>
      </w:r>
    </w:p>
    <w:p w14:paraId="5F339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b w:val="0"/>
          <w:bCs w:val="0"/>
          <w:kern w:val="0"/>
          <w:sz w:val="24"/>
          <w:szCs w:val="24"/>
          <w:lang w:val="en-US" w:eastAsia="zh-CN"/>
        </w:rPr>
        <w:t>遴选</w:t>
      </w:r>
      <w:r>
        <w:rPr>
          <w:rFonts w:hint="eastAsia" w:ascii="宋体" w:hAnsi="宋体" w:eastAsia="宋体" w:cs="宋体"/>
          <w:b w:val="0"/>
          <w:bCs w:val="0"/>
          <w:kern w:val="0"/>
          <w:sz w:val="24"/>
          <w:szCs w:val="24"/>
        </w:rPr>
        <w:t>时间：</w:t>
      </w:r>
      <w:r>
        <w:rPr>
          <w:rFonts w:hint="eastAsia" w:ascii="宋体" w:hAnsi="宋体" w:eastAsia="宋体" w:cs="宋体"/>
          <w:b w:val="0"/>
          <w:bCs w:val="0"/>
          <w:kern w:val="0"/>
          <w:sz w:val="24"/>
          <w:szCs w:val="24"/>
          <w:lang w:val="en-US" w:eastAsia="zh-CN"/>
        </w:rPr>
        <w:t>另行通知。</w:t>
      </w:r>
    </w:p>
    <w:p w14:paraId="4C5B0B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08BBE04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四、联系方式</w:t>
      </w:r>
    </w:p>
    <w:p w14:paraId="0A161F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王</w:t>
      </w:r>
      <w:r>
        <w:rPr>
          <w:rFonts w:hint="eastAsia" w:ascii="宋体" w:hAnsi="宋体" w:eastAsia="宋体" w:cs="宋体"/>
          <w:sz w:val="24"/>
          <w:szCs w:val="24"/>
        </w:rPr>
        <w:t>老师</w:t>
      </w:r>
    </w:p>
    <w:p w14:paraId="744932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021-67</w:t>
      </w:r>
      <w:r>
        <w:rPr>
          <w:rFonts w:hint="eastAsia" w:ascii="宋体" w:hAnsi="宋体" w:eastAsia="宋体" w:cs="宋体"/>
          <w:sz w:val="24"/>
          <w:szCs w:val="24"/>
          <w:lang w:val="en-US" w:eastAsia="zh-CN"/>
        </w:rPr>
        <w:t>073466</w:t>
      </w:r>
    </w:p>
    <w:p w14:paraId="216B3602">
      <w:pPr>
        <w:pStyle w:val="2"/>
        <w:rPr>
          <w:rFonts w:hint="eastAsia" w:ascii="宋体" w:hAnsi="宋体" w:eastAsia="宋体" w:cs="宋体"/>
          <w:sz w:val="24"/>
          <w:szCs w:val="24"/>
          <w:lang w:val="en-US" w:eastAsia="zh-CN"/>
        </w:rPr>
      </w:pPr>
    </w:p>
    <w:p w14:paraId="2EA91D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上海市嘉定区</w:t>
      </w:r>
      <w:r>
        <w:rPr>
          <w:rFonts w:hint="eastAsia" w:ascii="宋体" w:hAnsi="宋体" w:eastAsia="宋体" w:cs="宋体"/>
          <w:sz w:val="24"/>
          <w:szCs w:val="24"/>
          <w:lang w:val="en-US" w:eastAsia="zh-CN"/>
        </w:rPr>
        <w:t>中心</w:t>
      </w:r>
      <w:r>
        <w:rPr>
          <w:rFonts w:hint="eastAsia" w:ascii="宋体" w:hAnsi="宋体" w:eastAsia="宋体" w:cs="宋体"/>
          <w:sz w:val="24"/>
          <w:szCs w:val="24"/>
        </w:rPr>
        <w:t>医院</w:t>
      </w:r>
    </w:p>
    <w:p w14:paraId="433EC8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28</w:t>
      </w:r>
      <w:bookmarkStart w:id="1" w:name="_GoBack"/>
      <w:bookmarkEnd w:id="1"/>
      <w:r>
        <w:rPr>
          <w:rFonts w:hint="eastAsia" w:ascii="宋体" w:hAnsi="宋体" w:eastAsia="宋体" w:cs="宋体"/>
          <w:sz w:val="24"/>
          <w:szCs w:val="24"/>
          <w:lang w:val="en-US" w:eastAsia="zh-CN"/>
        </w:rPr>
        <w:t>日</w:t>
      </w:r>
    </w:p>
    <w:p w14:paraId="3CAAA0C9">
      <w:pPr>
        <w:pStyle w:val="2"/>
        <w:rPr>
          <w:rFonts w:hint="eastAsia" w:ascii="宋体" w:hAnsi="宋体" w:eastAsia="宋体" w:cs="宋体"/>
          <w:sz w:val="24"/>
          <w:szCs w:val="24"/>
          <w:lang w:val="en-US" w:eastAsia="zh-CN"/>
        </w:rPr>
      </w:pPr>
    </w:p>
    <w:p w14:paraId="5C677324">
      <w:pPr>
        <w:rPr>
          <w:rFonts w:hint="default"/>
          <w:lang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CAB9"/>
    <w:multiLevelType w:val="singleLevel"/>
    <w:tmpl w:val="BD80CAB9"/>
    <w:lvl w:ilvl="0" w:tentative="0">
      <w:start w:val="1"/>
      <w:numFmt w:val="decimal"/>
      <w:suff w:val="nothing"/>
      <w:lvlText w:val="%1、"/>
      <w:lvlJc w:val="left"/>
    </w:lvl>
  </w:abstractNum>
  <w:abstractNum w:abstractNumId="1">
    <w:nsid w:val="DF86D2EC"/>
    <w:multiLevelType w:val="singleLevel"/>
    <w:tmpl w:val="DF86D2EC"/>
    <w:lvl w:ilvl="0" w:tentative="0">
      <w:start w:val="1"/>
      <w:numFmt w:val="chineseCounting"/>
      <w:suff w:val="nothing"/>
      <w:lvlText w:val="%1、"/>
      <w:lvlJc w:val="left"/>
      <w:rPr>
        <w:rFonts w:hint="eastAsia"/>
      </w:rPr>
    </w:lvl>
  </w:abstractNum>
  <w:abstractNum w:abstractNumId="2">
    <w:nsid w:val="55B0AD60"/>
    <w:multiLevelType w:val="singleLevel"/>
    <w:tmpl w:val="55B0AD60"/>
    <w:lvl w:ilvl="0" w:tentative="0">
      <w:start w:val="1"/>
      <w:numFmt w:val="decimal"/>
      <w:lvlText w:val="%1."/>
      <w:lvlJc w:val="left"/>
      <w:pPr>
        <w:tabs>
          <w:tab w:val="left" w:pos="425"/>
        </w:tabs>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MjE5NmNmYTNjYzViNDQ4NGQyYTc3NjQxNWIxMGMifQ=="/>
  </w:docVars>
  <w:rsids>
    <w:rsidRoot w:val="1AA24D9F"/>
    <w:rsid w:val="07011CC2"/>
    <w:rsid w:val="07644792"/>
    <w:rsid w:val="09284798"/>
    <w:rsid w:val="0F2B6FD9"/>
    <w:rsid w:val="183C240D"/>
    <w:rsid w:val="1AA24D9F"/>
    <w:rsid w:val="1B0B4F2F"/>
    <w:rsid w:val="21AE0533"/>
    <w:rsid w:val="2447086F"/>
    <w:rsid w:val="28DA2E89"/>
    <w:rsid w:val="2A246BBB"/>
    <w:rsid w:val="2A4254F9"/>
    <w:rsid w:val="2D1F32F4"/>
    <w:rsid w:val="2F3A599D"/>
    <w:rsid w:val="31A11CF2"/>
    <w:rsid w:val="323B4D81"/>
    <w:rsid w:val="34B70380"/>
    <w:rsid w:val="364F61C0"/>
    <w:rsid w:val="3A2223F3"/>
    <w:rsid w:val="3AE174A3"/>
    <w:rsid w:val="43446334"/>
    <w:rsid w:val="448B2AB9"/>
    <w:rsid w:val="44A84E71"/>
    <w:rsid w:val="46BF4C9C"/>
    <w:rsid w:val="477DCE1E"/>
    <w:rsid w:val="52962CD7"/>
    <w:rsid w:val="573E1E21"/>
    <w:rsid w:val="5B487E91"/>
    <w:rsid w:val="5CF35248"/>
    <w:rsid w:val="5CF9550F"/>
    <w:rsid w:val="5EFEBDE8"/>
    <w:rsid w:val="60432042"/>
    <w:rsid w:val="684C414E"/>
    <w:rsid w:val="68CA2609"/>
    <w:rsid w:val="68CC1AED"/>
    <w:rsid w:val="69221947"/>
    <w:rsid w:val="69BB0F42"/>
    <w:rsid w:val="6A637494"/>
    <w:rsid w:val="6B3D425E"/>
    <w:rsid w:val="6BCF62E6"/>
    <w:rsid w:val="6CD3A16D"/>
    <w:rsid w:val="6D535020"/>
    <w:rsid w:val="6E5F49A6"/>
    <w:rsid w:val="6FFF37D2"/>
    <w:rsid w:val="709745C6"/>
    <w:rsid w:val="70DE2EF1"/>
    <w:rsid w:val="71D707A7"/>
    <w:rsid w:val="7C514C15"/>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qFormat/>
    <w:uiPriority w:val="99"/>
    <w:pPr>
      <w:widowControl w:val="0"/>
      <w:spacing w:line="520" w:lineRule="exact"/>
      <w:jc w:val="both"/>
    </w:pPr>
    <w:rPr>
      <w:rFonts w:ascii="宋体" w:hAnsi="Calibri" w:eastAsia="宋体" w:cs="宋体"/>
      <w:kern w:val="0"/>
      <w:sz w:val="28"/>
      <w:szCs w:val="28"/>
      <w:lang w:val="en-US" w:eastAsia="zh-CN" w:bidi="ar-SA"/>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2678</Words>
  <Characters>3084</Characters>
  <Lines>0</Lines>
  <Paragraphs>0</Paragraphs>
  <TotalTime>53</TotalTime>
  <ScaleCrop>false</ScaleCrop>
  <LinksUpToDate>false</LinksUpToDate>
  <CharactersWithSpaces>3095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user</dc:creator>
  <cp:lastModifiedBy>Neeko</cp:lastModifiedBy>
  <dcterms:modified xsi:type="dcterms:W3CDTF">2024-10-28T02:16:43Z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2D96D6CF3D024BAF980FE7C441D8E700_13</vt:lpwstr>
  </property>
</Properties>
</file>